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00CB" w14:textId="1EC6B113" w:rsidR="00B4355E" w:rsidRPr="00B4355E" w:rsidRDefault="00B4355E" w:rsidP="00BF3CA8">
      <w:pPr>
        <w:jc w:val="center"/>
        <w:rPr>
          <w:rFonts w:ascii="Aptos" w:hAnsi="Aptos"/>
          <w:b/>
          <w:bCs/>
          <w:sz w:val="20"/>
          <w:szCs w:val="20"/>
          <w:lang w:val="el-GR"/>
        </w:rPr>
      </w:pPr>
      <w:r w:rsidRPr="00B4355E">
        <w:rPr>
          <w:rFonts w:ascii="Aptos" w:hAnsi="Aptos"/>
          <w:b/>
          <w:bCs/>
          <w:sz w:val="20"/>
          <w:szCs w:val="20"/>
          <w:lang w:val="el-GR"/>
        </w:rPr>
        <w:t xml:space="preserve">Πολιτική Ενοποιημένου Συστήματος Διαχείρισης – </w:t>
      </w:r>
      <w:r w:rsidRPr="00B4355E">
        <w:rPr>
          <w:rFonts w:ascii="Aptos" w:hAnsi="Aptos"/>
          <w:b/>
          <w:bCs/>
          <w:sz w:val="20"/>
          <w:szCs w:val="20"/>
        </w:rPr>
        <w:t>STAND</w:t>
      </w:r>
      <w:r w:rsidRPr="00B4355E">
        <w:rPr>
          <w:rFonts w:ascii="Aptos" w:hAnsi="Aptos"/>
          <w:b/>
          <w:bCs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b/>
          <w:bCs/>
          <w:sz w:val="20"/>
          <w:szCs w:val="20"/>
        </w:rPr>
        <w:t>ART</w:t>
      </w:r>
      <w:r w:rsidRPr="00B4355E">
        <w:rPr>
          <w:rFonts w:ascii="Aptos" w:hAnsi="Aptos"/>
          <w:b/>
          <w:bCs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b/>
          <w:bCs/>
          <w:sz w:val="20"/>
          <w:szCs w:val="20"/>
        </w:rPr>
        <w:t>DESIGN</w:t>
      </w:r>
      <w:r w:rsidRPr="00B4355E">
        <w:rPr>
          <w:rFonts w:ascii="Aptos" w:hAnsi="Aptos"/>
          <w:b/>
          <w:bCs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b/>
          <w:bCs/>
          <w:sz w:val="20"/>
          <w:szCs w:val="20"/>
        </w:rPr>
        <w:t>A</w:t>
      </w:r>
      <w:r w:rsidRPr="00B4355E">
        <w:rPr>
          <w:rFonts w:ascii="Aptos" w:hAnsi="Aptos"/>
          <w:b/>
          <w:bCs/>
          <w:sz w:val="20"/>
          <w:szCs w:val="20"/>
          <w:lang w:val="el-GR"/>
        </w:rPr>
        <w:t>.</w:t>
      </w:r>
      <w:r w:rsidRPr="00B4355E">
        <w:rPr>
          <w:rFonts w:ascii="Aptos" w:hAnsi="Aptos"/>
          <w:b/>
          <w:bCs/>
          <w:sz w:val="20"/>
          <w:szCs w:val="20"/>
        </w:rPr>
        <w:t>E</w:t>
      </w:r>
      <w:r w:rsidRPr="00B4355E">
        <w:rPr>
          <w:rFonts w:ascii="Aptos" w:hAnsi="Aptos"/>
          <w:b/>
          <w:bCs/>
          <w:sz w:val="20"/>
          <w:szCs w:val="20"/>
          <w:lang w:val="el-GR"/>
        </w:rPr>
        <w:t>.</w:t>
      </w:r>
    </w:p>
    <w:p w14:paraId="44BC5984" w14:textId="4847864E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>
        <w:rPr>
          <w:rFonts w:ascii="Aptos" w:hAnsi="Aptos"/>
          <w:sz w:val="20"/>
          <w:szCs w:val="20"/>
          <w:lang w:val="el-GR"/>
        </w:rPr>
        <w:t>Το ακόλουθο κείμενο αποτελεί τη σύνοψη της πολιτικής του ΕΣΔ της εταιρεία μας. Πλήρες το κείμενο της πολιτικής είναι διαθέσιμο κατόπιν αιτήματος.</w:t>
      </w:r>
    </w:p>
    <w:p w14:paraId="08C2FAD8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1. Σκοπός και Πεδίο Εφαρμογής</w:t>
      </w:r>
    </w:p>
    <w:p w14:paraId="3B1DD46F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 xml:space="preserve">Η Πολιτική Ενοποιημένου Συστήματος Διαχείρισης (Π-1) της </w:t>
      </w:r>
      <w:r w:rsidRPr="00B4355E">
        <w:rPr>
          <w:rFonts w:ascii="Aptos" w:hAnsi="Aptos"/>
          <w:sz w:val="20"/>
          <w:szCs w:val="20"/>
        </w:rPr>
        <w:t>STAND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ART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DESIGN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A</w:t>
      </w:r>
      <w:r w:rsidRPr="00B4355E">
        <w:rPr>
          <w:rFonts w:ascii="Aptos" w:hAnsi="Aptos"/>
          <w:sz w:val="20"/>
          <w:szCs w:val="20"/>
          <w:lang w:val="el-GR"/>
        </w:rPr>
        <w:t>.</w:t>
      </w:r>
      <w:r w:rsidRPr="00B4355E">
        <w:rPr>
          <w:rFonts w:ascii="Aptos" w:hAnsi="Aptos"/>
          <w:sz w:val="20"/>
          <w:szCs w:val="20"/>
        </w:rPr>
        <w:t>E</w:t>
      </w:r>
      <w:r w:rsidRPr="00B4355E">
        <w:rPr>
          <w:rFonts w:ascii="Aptos" w:hAnsi="Aptos"/>
          <w:sz w:val="20"/>
          <w:szCs w:val="20"/>
          <w:lang w:val="el-GR"/>
        </w:rPr>
        <w:t>. ενοποιεί τις αρχές και τις απαιτήσεις των συστημάτων διαχείρισης ποιότητας (</w:t>
      </w:r>
      <w:r w:rsidRPr="00B4355E">
        <w:rPr>
          <w:rFonts w:ascii="Aptos" w:hAnsi="Aptos"/>
          <w:sz w:val="20"/>
          <w:szCs w:val="20"/>
        </w:rPr>
        <w:t>ISO</w:t>
      </w:r>
      <w:r w:rsidRPr="00B4355E">
        <w:rPr>
          <w:rFonts w:ascii="Aptos" w:hAnsi="Aptos"/>
          <w:sz w:val="20"/>
          <w:szCs w:val="20"/>
          <w:lang w:val="el-GR"/>
        </w:rPr>
        <w:t xml:space="preserve"> 9001), περιβάλλοντος (</w:t>
      </w:r>
      <w:r w:rsidRPr="00B4355E">
        <w:rPr>
          <w:rFonts w:ascii="Aptos" w:hAnsi="Aptos"/>
          <w:sz w:val="20"/>
          <w:szCs w:val="20"/>
        </w:rPr>
        <w:t>ISO</w:t>
      </w:r>
      <w:r w:rsidRPr="00B4355E">
        <w:rPr>
          <w:rFonts w:ascii="Aptos" w:hAnsi="Aptos"/>
          <w:sz w:val="20"/>
          <w:szCs w:val="20"/>
          <w:lang w:val="el-GR"/>
        </w:rPr>
        <w:t xml:space="preserve"> 14001), υγείας και ασφάλειας στην εργασία (</w:t>
      </w:r>
      <w:r w:rsidRPr="00B4355E">
        <w:rPr>
          <w:rFonts w:ascii="Aptos" w:hAnsi="Aptos"/>
          <w:sz w:val="20"/>
          <w:szCs w:val="20"/>
        </w:rPr>
        <w:t>ISO</w:t>
      </w:r>
      <w:r w:rsidRPr="00B4355E">
        <w:rPr>
          <w:rFonts w:ascii="Aptos" w:hAnsi="Aptos"/>
          <w:sz w:val="20"/>
          <w:szCs w:val="20"/>
          <w:lang w:val="el-GR"/>
        </w:rPr>
        <w:t xml:space="preserve"> 45001) και κοινωνικής ευθύνης (</w:t>
      </w:r>
      <w:r w:rsidRPr="00B4355E">
        <w:rPr>
          <w:rFonts w:ascii="Aptos" w:hAnsi="Aptos"/>
          <w:sz w:val="20"/>
          <w:szCs w:val="20"/>
        </w:rPr>
        <w:t>ISO</w:t>
      </w:r>
      <w:r w:rsidRPr="00B4355E">
        <w:rPr>
          <w:rFonts w:ascii="Aptos" w:hAnsi="Aptos"/>
          <w:sz w:val="20"/>
          <w:szCs w:val="20"/>
          <w:lang w:val="el-GR"/>
        </w:rPr>
        <w:t xml:space="preserve"> 26000).</w:t>
      </w:r>
    </w:p>
    <w:p w14:paraId="72349083" w14:textId="7B2D4F2C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Στόχος είναι η δημιουργία βιώσιμης αξίας για όλα τα ενδιαφερόμενα μέρη, μέσω υπεύθυνης λειτουργίας και συνεχούς βελτίωσης.</w:t>
      </w:r>
    </w:p>
    <w:p w14:paraId="6598E55B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2. Δέσμευση της Διοίκησης</w:t>
      </w:r>
    </w:p>
    <w:p w14:paraId="35A3B6E4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 xml:space="preserve">Η Διοίκηση της </w:t>
      </w:r>
      <w:r w:rsidRPr="00B4355E">
        <w:rPr>
          <w:rFonts w:ascii="Aptos" w:hAnsi="Aptos"/>
          <w:sz w:val="20"/>
          <w:szCs w:val="20"/>
        </w:rPr>
        <w:t>STAND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ART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DESIGN</w:t>
      </w:r>
      <w:r w:rsidRPr="00B4355E">
        <w:rPr>
          <w:rFonts w:ascii="Aptos" w:hAnsi="Aptos"/>
          <w:sz w:val="20"/>
          <w:szCs w:val="20"/>
          <w:lang w:val="el-GR"/>
        </w:rPr>
        <w:t xml:space="preserve"> Α.Ε. δεσμεύεται:</w:t>
      </w:r>
    </w:p>
    <w:p w14:paraId="64AC12B5" w14:textId="77777777" w:rsidR="00B4355E" w:rsidRPr="00B4355E" w:rsidRDefault="00B4355E" w:rsidP="00B4355E">
      <w:pPr>
        <w:pStyle w:val="ListParagraph"/>
        <w:numPr>
          <w:ilvl w:val="0"/>
          <w:numId w:val="8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Να διαθέτει επαρκείς πόρους για την υλοποίηση των στόχων.</w:t>
      </w:r>
    </w:p>
    <w:p w14:paraId="38568757" w14:textId="77777777" w:rsidR="00B4355E" w:rsidRPr="00B4355E" w:rsidRDefault="00B4355E" w:rsidP="00B4355E">
      <w:pPr>
        <w:pStyle w:val="ListParagraph"/>
        <w:numPr>
          <w:ilvl w:val="0"/>
          <w:numId w:val="8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Να προάγει τη βιώσιμη ανάπτυξη και τη βελτίωση της ποιότητας ζωής των εργαζομένων και των κοινοτήτων γύρω από τις εγκαταστάσεις της.</w:t>
      </w:r>
    </w:p>
    <w:p w14:paraId="2111C5C1" w14:textId="710D8B9F" w:rsidR="00B4355E" w:rsidRPr="00B4355E" w:rsidRDefault="00B4355E" w:rsidP="00B4355E">
      <w:pPr>
        <w:pStyle w:val="ListParagraph"/>
        <w:numPr>
          <w:ilvl w:val="0"/>
          <w:numId w:val="8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Να επανεξετάζει περιοδικά την πολιτική στο πλαίσιο της ανασκόπησης διοίκησης.</w:t>
      </w:r>
    </w:p>
    <w:p w14:paraId="41DC37B5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3. Θεμελιώδεις Αρχές</w:t>
      </w:r>
    </w:p>
    <w:p w14:paraId="3851F63E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Η εταιρεία λειτουργεί με βάση:</w:t>
      </w:r>
    </w:p>
    <w:p w14:paraId="3B607A0C" w14:textId="77777777" w:rsidR="00B4355E" w:rsidRPr="00B4355E" w:rsidRDefault="00B4355E" w:rsidP="00B4355E">
      <w:pPr>
        <w:pStyle w:val="ListParagraph"/>
        <w:numPr>
          <w:ilvl w:val="0"/>
          <w:numId w:val="9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Σεβασμό στα ανθρώπινα δικαιώματα και στις διεθνείς συμβάσεις εργασίας (</w:t>
      </w:r>
      <w:r w:rsidRPr="00B4355E">
        <w:rPr>
          <w:rFonts w:ascii="Aptos" w:hAnsi="Aptos"/>
          <w:sz w:val="20"/>
          <w:szCs w:val="20"/>
        </w:rPr>
        <w:t>ILO</w:t>
      </w:r>
      <w:r w:rsidRPr="00B4355E">
        <w:rPr>
          <w:rFonts w:ascii="Aptos" w:hAnsi="Aptos"/>
          <w:sz w:val="20"/>
          <w:szCs w:val="20"/>
          <w:lang w:val="el-GR"/>
        </w:rPr>
        <w:t>, ΟΗΕ κ.ά.).</w:t>
      </w:r>
    </w:p>
    <w:p w14:paraId="7F36E9CF" w14:textId="77777777" w:rsidR="00B4355E" w:rsidRPr="00B4355E" w:rsidRDefault="00B4355E" w:rsidP="00B4355E">
      <w:pPr>
        <w:pStyle w:val="ListParagraph"/>
        <w:numPr>
          <w:ilvl w:val="0"/>
          <w:numId w:val="9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Αποκλεισμό παιδικής και καταναγκαστικής εργασίας.</w:t>
      </w:r>
    </w:p>
    <w:p w14:paraId="78B4A707" w14:textId="77777777" w:rsidR="00B4355E" w:rsidRPr="00B4355E" w:rsidRDefault="00B4355E" w:rsidP="00B4355E">
      <w:pPr>
        <w:pStyle w:val="ListParagraph"/>
        <w:numPr>
          <w:ilvl w:val="0"/>
          <w:numId w:val="9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Προώθηση ίσων ευκαιριών και καταπολέμηση κάθε διάκρισης.</w:t>
      </w:r>
    </w:p>
    <w:p w14:paraId="4578A8E9" w14:textId="77777777" w:rsidR="00B4355E" w:rsidRPr="00B4355E" w:rsidRDefault="00B4355E" w:rsidP="00B4355E">
      <w:pPr>
        <w:pStyle w:val="ListParagraph"/>
        <w:numPr>
          <w:ilvl w:val="0"/>
          <w:numId w:val="9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Συνδικαλιστική ελευθερία και προστασία των εργαζομένων.</w:t>
      </w:r>
    </w:p>
    <w:p w14:paraId="40F4C5BE" w14:textId="77777777" w:rsidR="00B4355E" w:rsidRPr="00B4355E" w:rsidRDefault="00B4355E" w:rsidP="00B4355E">
      <w:pPr>
        <w:pStyle w:val="ListParagraph"/>
        <w:numPr>
          <w:ilvl w:val="0"/>
          <w:numId w:val="9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Αξιοπρεπείς αμοιβές και τήρηση ωραρίων.</w:t>
      </w:r>
    </w:p>
    <w:p w14:paraId="48C36C13" w14:textId="641AA273" w:rsidR="00B4355E" w:rsidRPr="00B4355E" w:rsidRDefault="00B4355E" w:rsidP="00B4355E">
      <w:pPr>
        <w:pStyle w:val="ListParagraph"/>
        <w:numPr>
          <w:ilvl w:val="0"/>
          <w:numId w:val="9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Μηδενική ανοχή σε σωματική ή ψυχολογική κακομεταχείριση.</w:t>
      </w:r>
    </w:p>
    <w:p w14:paraId="0C15E7C7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4. Πρακτικές και Συστήματα Διαχείρισης</w:t>
      </w:r>
    </w:p>
    <w:p w14:paraId="3F696CB9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 xml:space="preserve">Η </w:t>
      </w:r>
      <w:r w:rsidRPr="00B4355E">
        <w:rPr>
          <w:rFonts w:ascii="Aptos" w:hAnsi="Aptos"/>
          <w:sz w:val="20"/>
          <w:szCs w:val="20"/>
        </w:rPr>
        <w:t>STAND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ART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DESIGN</w:t>
      </w:r>
      <w:r w:rsidRPr="00B4355E">
        <w:rPr>
          <w:rFonts w:ascii="Aptos" w:hAnsi="Aptos"/>
          <w:sz w:val="20"/>
          <w:szCs w:val="20"/>
          <w:lang w:val="el-GR"/>
        </w:rPr>
        <w:t xml:space="preserve"> εφαρμόζει ολοκληρωμένα συστήματα σύμφωνα με διεθνή πρότυπα:</w:t>
      </w:r>
    </w:p>
    <w:p w14:paraId="4A7CCE39" w14:textId="77777777" w:rsidR="00B4355E" w:rsidRPr="00B4355E" w:rsidRDefault="00B4355E" w:rsidP="00B4355E">
      <w:pPr>
        <w:pStyle w:val="ListParagraph"/>
        <w:numPr>
          <w:ilvl w:val="0"/>
          <w:numId w:val="10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</w:rPr>
        <w:t>ISO</w:t>
      </w:r>
      <w:r w:rsidRPr="00B4355E">
        <w:rPr>
          <w:rFonts w:ascii="Aptos" w:hAnsi="Aptos"/>
          <w:sz w:val="20"/>
          <w:szCs w:val="20"/>
          <w:lang w:val="el-GR"/>
        </w:rPr>
        <w:t xml:space="preserve"> 45001:2018 για την Υγεία &amp; Ασφάλεια στην Εργασία</w:t>
      </w:r>
    </w:p>
    <w:p w14:paraId="31003274" w14:textId="77777777" w:rsidR="00B4355E" w:rsidRPr="00B4355E" w:rsidRDefault="00B4355E" w:rsidP="00B4355E">
      <w:pPr>
        <w:pStyle w:val="ListParagraph"/>
        <w:numPr>
          <w:ilvl w:val="0"/>
          <w:numId w:val="10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 xml:space="preserve">ISO 14001:2015 </w:t>
      </w:r>
      <w:proofErr w:type="spellStart"/>
      <w:r w:rsidRPr="00B4355E">
        <w:rPr>
          <w:rFonts w:ascii="Aptos" w:hAnsi="Aptos"/>
          <w:sz w:val="20"/>
          <w:szCs w:val="20"/>
        </w:rPr>
        <w:t>γι</w:t>
      </w:r>
      <w:proofErr w:type="spellEnd"/>
      <w:r w:rsidRPr="00B4355E">
        <w:rPr>
          <w:rFonts w:ascii="Aptos" w:hAnsi="Aptos"/>
          <w:sz w:val="20"/>
          <w:szCs w:val="20"/>
        </w:rPr>
        <w:t xml:space="preserve">α </w:t>
      </w:r>
      <w:proofErr w:type="spellStart"/>
      <w:r w:rsidRPr="00B4355E">
        <w:rPr>
          <w:rFonts w:ascii="Aptos" w:hAnsi="Aptos"/>
          <w:sz w:val="20"/>
          <w:szCs w:val="20"/>
        </w:rPr>
        <w:t>την</w:t>
      </w:r>
      <w:proofErr w:type="spellEnd"/>
      <w:r w:rsidRPr="00B4355E">
        <w:rPr>
          <w:rFonts w:ascii="Aptos" w:hAnsi="Aptos"/>
          <w:sz w:val="20"/>
          <w:szCs w:val="20"/>
        </w:rPr>
        <w:t xml:space="preserve"> </w:t>
      </w:r>
      <w:proofErr w:type="spellStart"/>
      <w:r w:rsidRPr="00B4355E">
        <w:rPr>
          <w:rFonts w:ascii="Aptos" w:hAnsi="Aptos"/>
          <w:sz w:val="20"/>
          <w:szCs w:val="20"/>
        </w:rPr>
        <w:t>Περι</w:t>
      </w:r>
      <w:proofErr w:type="spellEnd"/>
      <w:r w:rsidRPr="00B4355E">
        <w:rPr>
          <w:rFonts w:ascii="Aptos" w:hAnsi="Aptos"/>
          <w:sz w:val="20"/>
          <w:szCs w:val="20"/>
        </w:rPr>
        <w:t xml:space="preserve">βαλλοντική </w:t>
      </w:r>
      <w:proofErr w:type="spellStart"/>
      <w:r w:rsidRPr="00B4355E">
        <w:rPr>
          <w:rFonts w:ascii="Aptos" w:hAnsi="Aptos"/>
          <w:sz w:val="20"/>
          <w:szCs w:val="20"/>
        </w:rPr>
        <w:t>Δι</w:t>
      </w:r>
      <w:proofErr w:type="spellEnd"/>
      <w:r w:rsidRPr="00B4355E">
        <w:rPr>
          <w:rFonts w:ascii="Aptos" w:hAnsi="Aptos"/>
          <w:sz w:val="20"/>
          <w:szCs w:val="20"/>
        </w:rPr>
        <w:t>αχείριση</w:t>
      </w:r>
    </w:p>
    <w:p w14:paraId="5EFB349A" w14:textId="6CD6F36F" w:rsidR="00B4355E" w:rsidRPr="00B4355E" w:rsidRDefault="00B4355E" w:rsidP="00B4355E">
      <w:pPr>
        <w:pStyle w:val="ListParagraph"/>
        <w:numPr>
          <w:ilvl w:val="0"/>
          <w:numId w:val="10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</w:rPr>
        <w:t xml:space="preserve">ISO 26000:2010 </w:t>
      </w:r>
      <w:proofErr w:type="spellStart"/>
      <w:r w:rsidRPr="00B4355E">
        <w:rPr>
          <w:rFonts w:ascii="Aptos" w:hAnsi="Aptos"/>
          <w:sz w:val="20"/>
          <w:szCs w:val="20"/>
        </w:rPr>
        <w:t>γι</w:t>
      </w:r>
      <w:proofErr w:type="spellEnd"/>
      <w:r w:rsidRPr="00B4355E">
        <w:rPr>
          <w:rFonts w:ascii="Aptos" w:hAnsi="Aptos"/>
          <w:sz w:val="20"/>
          <w:szCs w:val="20"/>
        </w:rPr>
        <w:t xml:space="preserve">α </w:t>
      </w:r>
      <w:proofErr w:type="spellStart"/>
      <w:r w:rsidRPr="00B4355E">
        <w:rPr>
          <w:rFonts w:ascii="Aptos" w:hAnsi="Aptos"/>
          <w:sz w:val="20"/>
          <w:szCs w:val="20"/>
        </w:rPr>
        <w:t>την</w:t>
      </w:r>
      <w:proofErr w:type="spellEnd"/>
      <w:r w:rsidRPr="00B4355E">
        <w:rPr>
          <w:rFonts w:ascii="Aptos" w:hAnsi="Aptos"/>
          <w:sz w:val="20"/>
          <w:szCs w:val="20"/>
        </w:rPr>
        <w:t xml:space="preserve"> </w:t>
      </w:r>
      <w:proofErr w:type="spellStart"/>
      <w:r w:rsidRPr="00B4355E">
        <w:rPr>
          <w:rFonts w:ascii="Aptos" w:hAnsi="Aptos"/>
          <w:sz w:val="20"/>
          <w:szCs w:val="20"/>
        </w:rPr>
        <w:t>Κοινωνική</w:t>
      </w:r>
      <w:proofErr w:type="spellEnd"/>
      <w:r w:rsidRPr="00B4355E">
        <w:rPr>
          <w:rFonts w:ascii="Aptos" w:hAnsi="Aptos"/>
          <w:sz w:val="20"/>
          <w:szCs w:val="20"/>
        </w:rPr>
        <w:t xml:space="preserve"> </w:t>
      </w:r>
      <w:proofErr w:type="spellStart"/>
      <w:r w:rsidRPr="00B4355E">
        <w:rPr>
          <w:rFonts w:ascii="Aptos" w:hAnsi="Aptos"/>
          <w:sz w:val="20"/>
          <w:szCs w:val="20"/>
        </w:rPr>
        <w:t>Ευθύνη</w:t>
      </w:r>
      <w:proofErr w:type="spellEnd"/>
    </w:p>
    <w:p w14:paraId="24BA7304" w14:textId="4E676E6D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Τα συστήματα αυτά υποστηρίζουν τη συμμόρφωση, τη διαφάνεια και την υπεύθυνη επιχειρηματική πρακτική.</w:t>
      </w:r>
    </w:p>
    <w:p w14:paraId="1FDB289D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5. Επαγγελματική Δεοντολογία</w:t>
      </w:r>
    </w:p>
    <w:p w14:paraId="7F0A128F" w14:textId="4947D266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 xml:space="preserve">Η εταιρεία ακολουθεί τον Κώδικα Επαγγελματικής Δεοντολογίας </w:t>
      </w:r>
      <w:r w:rsidRPr="00B4355E">
        <w:rPr>
          <w:rFonts w:ascii="Aptos" w:hAnsi="Aptos"/>
          <w:sz w:val="20"/>
          <w:szCs w:val="20"/>
        </w:rPr>
        <w:t>STAND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ART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DESIGN</w:t>
      </w:r>
      <w:r w:rsidRPr="00B4355E">
        <w:rPr>
          <w:rFonts w:ascii="Aptos" w:hAnsi="Aptos"/>
          <w:sz w:val="20"/>
          <w:szCs w:val="20"/>
          <w:lang w:val="el-GR"/>
        </w:rPr>
        <w:t>, που ευθυγραμμίζεται με το Οικουμενικό Σύμφωνο του ΟΗΕ και την Οικουμενική Διακήρυξη των Δικαιωμάτων του Ανθρώπου, επιδιώκοντας τα υψηλότερα πρότυπα αριστείας και ακεραιότητας στις επιχειρηματικές της πρακτικές.</w:t>
      </w:r>
    </w:p>
    <w:p w14:paraId="40770736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6. Πρακτικές Απασχόλησης</w:t>
      </w:r>
    </w:p>
    <w:p w14:paraId="315C87D9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Προάγεται η ποικιλομορφία και η ένταξη στο εργασιακό περιβάλλον.</w:t>
      </w:r>
    </w:p>
    <w:p w14:paraId="45D45285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lastRenderedPageBreak/>
        <w:t>Διασφαλίζονται ίσες ευκαιρίες σε πρόσληψη, ανάπτυξη και προαγωγή.</w:t>
      </w:r>
    </w:p>
    <w:p w14:paraId="13F5B0B5" w14:textId="605CCDCA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Απαγορεύεται ρητά η παιδική εργασία και η εκμετάλλευση.</w:t>
      </w:r>
    </w:p>
    <w:p w14:paraId="5388DD4E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7. Κοινωνική Συμμετοχή</w:t>
      </w:r>
    </w:p>
    <w:p w14:paraId="449ED31A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 xml:space="preserve">Η </w:t>
      </w:r>
      <w:r w:rsidRPr="00B4355E">
        <w:rPr>
          <w:rFonts w:ascii="Aptos" w:hAnsi="Aptos"/>
          <w:sz w:val="20"/>
          <w:szCs w:val="20"/>
        </w:rPr>
        <w:t>STAND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ART</w:t>
      </w:r>
      <w:r w:rsidRPr="00B4355E">
        <w:rPr>
          <w:rFonts w:ascii="Aptos" w:hAnsi="Aptos"/>
          <w:sz w:val="20"/>
          <w:szCs w:val="20"/>
          <w:lang w:val="el-GR"/>
        </w:rPr>
        <w:t xml:space="preserve"> </w:t>
      </w:r>
      <w:r w:rsidRPr="00B4355E">
        <w:rPr>
          <w:rFonts w:ascii="Aptos" w:hAnsi="Aptos"/>
          <w:sz w:val="20"/>
          <w:szCs w:val="20"/>
        </w:rPr>
        <w:t>DESIGN</w:t>
      </w:r>
      <w:r w:rsidRPr="00B4355E">
        <w:rPr>
          <w:rFonts w:ascii="Aptos" w:hAnsi="Aptos"/>
          <w:sz w:val="20"/>
          <w:szCs w:val="20"/>
          <w:lang w:val="el-GR"/>
        </w:rPr>
        <w:t xml:space="preserve"> δρα ως υπεύθυνος εταιρικός πολίτης, ενθαρρύνοντας:</w:t>
      </w:r>
    </w:p>
    <w:p w14:paraId="1C155727" w14:textId="77777777" w:rsidR="00B4355E" w:rsidRPr="00B4355E" w:rsidRDefault="00B4355E" w:rsidP="00B4355E">
      <w:pPr>
        <w:pStyle w:val="ListParagraph"/>
        <w:numPr>
          <w:ilvl w:val="0"/>
          <w:numId w:val="11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Τη συμμετοχή των εργαζομένων σε δράσεις εθελοντισμού.</w:t>
      </w:r>
    </w:p>
    <w:p w14:paraId="79BD2A50" w14:textId="77777777" w:rsidR="00B4355E" w:rsidRPr="00B4355E" w:rsidRDefault="00B4355E" w:rsidP="00B4355E">
      <w:pPr>
        <w:pStyle w:val="ListParagraph"/>
        <w:numPr>
          <w:ilvl w:val="0"/>
          <w:numId w:val="11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Τη στήριξη τοπικών κοινοτήτων σε εκπαιδευτικά, πολιτιστικά και κοινωνικά προγράμματα.</w:t>
      </w:r>
    </w:p>
    <w:p w14:paraId="3A74FA25" w14:textId="04359ED8" w:rsidR="00B4355E" w:rsidRPr="00B4355E" w:rsidRDefault="00B4355E" w:rsidP="00B4355E">
      <w:pPr>
        <w:pStyle w:val="ListParagraph"/>
        <w:numPr>
          <w:ilvl w:val="0"/>
          <w:numId w:val="11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Την ανάπτυξη σχέσεων εμπιστοσύνης με κοινωνικούς εταίρους.</w:t>
      </w:r>
    </w:p>
    <w:p w14:paraId="34AD1EA1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8. Σχέσεις με Πελάτες και Προμηθευτές</w:t>
      </w:r>
    </w:p>
    <w:p w14:paraId="707CE160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Η εταιρεία:</w:t>
      </w:r>
    </w:p>
    <w:p w14:paraId="01DF0662" w14:textId="77777777" w:rsidR="00B4355E" w:rsidRPr="00B4355E" w:rsidRDefault="00B4355E" w:rsidP="00B4355E">
      <w:pPr>
        <w:pStyle w:val="ListParagraph"/>
        <w:numPr>
          <w:ilvl w:val="0"/>
          <w:numId w:val="12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Τηρεί τους κανόνες θεμιτού ανταγωνισμού.</w:t>
      </w:r>
    </w:p>
    <w:p w14:paraId="64047D4B" w14:textId="77777777" w:rsidR="00B4355E" w:rsidRPr="00B4355E" w:rsidRDefault="00B4355E" w:rsidP="00B4355E">
      <w:pPr>
        <w:pStyle w:val="ListParagraph"/>
        <w:numPr>
          <w:ilvl w:val="0"/>
          <w:numId w:val="12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Απαιτεί από τους προμηθευτές της συμμόρφωση με τις ίδιες αρχές κοινωνικής ευθύνης.</w:t>
      </w:r>
    </w:p>
    <w:p w14:paraId="25D51D72" w14:textId="6E0C70A8" w:rsidR="00B4355E" w:rsidRPr="00B4355E" w:rsidRDefault="00B4355E" w:rsidP="00B4355E">
      <w:pPr>
        <w:pStyle w:val="ListParagraph"/>
        <w:numPr>
          <w:ilvl w:val="0"/>
          <w:numId w:val="12"/>
        </w:num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Προωθεί βιώσιμες συνεργασίες βασισμένες σε σεβασμό και διαφάνεια.</w:t>
      </w:r>
    </w:p>
    <w:p w14:paraId="7BD773C1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9. Επικοινωνία και Διαφάνεια</w:t>
      </w:r>
    </w:p>
    <w:p w14:paraId="1380AF0C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 xml:space="preserve">Η πολιτική είναι δημόσια διαθέσιμη και </w:t>
      </w:r>
      <w:proofErr w:type="spellStart"/>
      <w:r w:rsidRPr="00B4355E">
        <w:rPr>
          <w:rFonts w:ascii="Aptos" w:hAnsi="Aptos"/>
          <w:sz w:val="20"/>
          <w:szCs w:val="20"/>
          <w:lang w:val="el-GR"/>
        </w:rPr>
        <w:t>επικοινωνείται</w:t>
      </w:r>
      <w:proofErr w:type="spellEnd"/>
      <w:r w:rsidRPr="00B4355E">
        <w:rPr>
          <w:rFonts w:ascii="Aptos" w:hAnsi="Aptos"/>
          <w:sz w:val="20"/>
          <w:szCs w:val="20"/>
          <w:lang w:val="el-GR"/>
        </w:rPr>
        <w:t xml:space="preserve"> ενεργά σε εθνικό και διεθνές επίπεδο.</w:t>
      </w:r>
    </w:p>
    <w:p w14:paraId="0629B410" w14:textId="77777777" w:rsidR="00B4355E" w:rsidRPr="00B4355E" w:rsidRDefault="00B4355E" w:rsidP="00B4355E">
      <w:pPr>
        <w:rPr>
          <w:rFonts w:ascii="Aptos" w:eastAsia="Times New Roman" w:hAnsi="Aptos" w:cs="Times New Roman"/>
          <w:color w:val="0E0E0E"/>
          <w:kern w:val="0"/>
          <w:sz w:val="20"/>
          <w:szCs w:val="20"/>
          <w:lang w:val="el-GR"/>
          <w14:ligatures w14:val="none"/>
        </w:rPr>
      </w:pPr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:lang w:val="el-GR"/>
          <w14:ligatures w14:val="none"/>
        </w:rPr>
        <w:t xml:space="preserve">Επίσης, η εταιρεία διατηρεί τις ακόλουθες πολιτικές, οι οποίες είναι διαθέσιμες στα ενδιαφερόμενα μέρη κατόπιν αιτήματος στο </w:t>
      </w:r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14:ligatures w14:val="none"/>
        </w:rPr>
        <w:t>info</w:t>
      </w:r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:lang w:val="el-GR"/>
          <w14:ligatures w14:val="none"/>
        </w:rPr>
        <w:t>@</w:t>
      </w:r>
      <w:proofErr w:type="spellStart"/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14:ligatures w14:val="none"/>
        </w:rPr>
        <w:t>standart</w:t>
      </w:r>
      <w:proofErr w:type="spellEnd"/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:lang w:val="el-GR"/>
          <w14:ligatures w14:val="none"/>
        </w:rPr>
        <w:t>.</w:t>
      </w:r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14:ligatures w14:val="none"/>
        </w:rPr>
        <w:t>gr</w:t>
      </w:r>
      <w:r w:rsidRPr="00B4355E">
        <w:rPr>
          <w:rFonts w:ascii="Aptos" w:eastAsia="Times New Roman" w:hAnsi="Aptos" w:cs="Times New Roman"/>
          <w:color w:val="0E0E0E"/>
          <w:kern w:val="0"/>
          <w:sz w:val="20"/>
          <w:szCs w:val="20"/>
          <w:lang w:val="el-GR"/>
          <w14:ligatures w14:val="none"/>
        </w:rPr>
        <w:t>.</w:t>
      </w:r>
    </w:p>
    <w:p w14:paraId="3D68353C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ENVIRONMENTAL POLICY</w:t>
      </w:r>
    </w:p>
    <w:p w14:paraId="61CF1BC8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QUALITY MANAGEMENT POLICY</w:t>
      </w:r>
    </w:p>
    <w:p w14:paraId="6169B174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ENERGY MANAGEMENT POLICY</w:t>
      </w:r>
    </w:p>
    <w:p w14:paraId="2EC99B43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HEALTH AND SAFETY POLICY</w:t>
      </w:r>
    </w:p>
    <w:p w14:paraId="0756374E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POLICY AGAINST BRIBERY AND CORRUPTION</w:t>
      </w:r>
    </w:p>
    <w:p w14:paraId="11945646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BUSINESS CONTINUITY POLICY</w:t>
      </w:r>
    </w:p>
    <w:p w14:paraId="02BE71FB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SUPPLIER POLICY</w:t>
      </w:r>
    </w:p>
    <w:p w14:paraId="5F2766A6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PERSONAL DATA PROTECTION POLICY</w:t>
      </w:r>
    </w:p>
    <w:p w14:paraId="0599DE8E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INFORMATION SECURITY POLICY</w:t>
      </w:r>
    </w:p>
    <w:p w14:paraId="7AFB9572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INTERNAL INFORMATION REPORTING POLICY (WHISTLEBLOWING)</w:t>
      </w:r>
    </w:p>
    <w:p w14:paraId="20A12888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CAREER DEVELOPMENT POLICY</w:t>
      </w:r>
    </w:p>
    <w:p w14:paraId="619CB575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HUMAN RIGHTS POLICY</w:t>
      </w:r>
    </w:p>
    <w:p w14:paraId="53EA315B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SUSTAINABLE PROCUREMENT POLICY</w:t>
      </w:r>
    </w:p>
    <w:p w14:paraId="5A744075" w14:textId="77777777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SUSTAINABLE CONSUMPTION PROMOTION POLICY</w:t>
      </w:r>
    </w:p>
    <w:p w14:paraId="7B0590B3" w14:textId="457BE918" w:rsidR="00B4355E" w:rsidRPr="00B4355E" w:rsidRDefault="00B4355E" w:rsidP="00B4355E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B4355E">
        <w:rPr>
          <w:rFonts w:ascii="Aptos" w:hAnsi="Aptos"/>
          <w:sz w:val="20"/>
          <w:szCs w:val="20"/>
        </w:rPr>
        <w:t>POLICY REGARDING VIOLENCE AND HARASSMENT AT WORK</w:t>
      </w:r>
    </w:p>
    <w:p w14:paraId="1F8D28A0" w14:textId="77777777" w:rsidR="00B4355E" w:rsidRPr="00BF3CA8" w:rsidRDefault="00B4355E" w:rsidP="00B4355E">
      <w:pPr>
        <w:rPr>
          <w:rFonts w:ascii="Aptos" w:hAnsi="Aptos"/>
          <w:b/>
          <w:bCs/>
          <w:sz w:val="20"/>
          <w:szCs w:val="20"/>
          <w:lang w:val="el-GR"/>
        </w:rPr>
      </w:pPr>
      <w:r w:rsidRPr="00BF3CA8">
        <w:rPr>
          <w:rFonts w:ascii="Aptos" w:hAnsi="Aptos"/>
          <w:b/>
          <w:bCs/>
          <w:sz w:val="20"/>
          <w:szCs w:val="20"/>
          <w:lang w:val="el-GR"/>
        </w:rPr>
        <w:t>10. Επανεξέταση και Συμμόρφωση</w:t>
      </w:r>
    </w:p>
    <w:p w14:paraId="055C56DF" w14:textId="77777777" w:rsidR="00B4355E" w:rsidRPr="00B4355E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Η πολιτική επανεξετάζεται περιοδικά μέσω της Ανασκόπησης Διοίκησης.</w:t>
      </w:r>
    </w:p>
    <w:p w14:paraId="7F224DCE" w14:textId="14210FED" w:rsidR="003E1C90" w:rsidRPr="004E4B59" w:rsidRDefault="00B4355E" w:rsidP="00B4355E">
      <w:pPr>
        <w:rPr>
          <w:rFonts w:ascii="Aptos" w:hAnsi="Aptos"/>
          <w:sz w:val="20"/>
          <w:szCs w:val="20"/>
          <w:lang w:val="el-GR"/>
        </w:rPr>
      </w:pPr>
      <w:r w:rsidRPr="00B4355E">
        <w:rPr>
          <w:rFonts w:ascii="Aptos" w:hAnsi="Aptos"/>
          <w:sz w:val="20"/>
          <w:szCs w:val="20"/>
          <w:lang w:val="el-GR"/>
        </w:rPr>
        <w:t>Η μη συμμόρφωση ενδέχεται να επιφέρει νομικές ή πειθαρχικές συνέπειες.</w:t>
      </w:r>
    </w:p>
    <w:sectPr w:rsidR="003E1C90" w:rsidRPr="004E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05F"/>
    <w:multiLevelType w:val="multilevel"/>
    <w:tmpl w:val="292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B6AFE"/>
    <w:multiLevelType w:val="multilevel"/>
    <w:tmpl w:val="BAFE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F4CEE"/>
    <w:multiLevelType w:val="hybridMultilevel"/>
    <w:tmpl w:val="2684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0740"/>
    <w:multiLevelType w:val="multilevel"/>
    <w:tmpl w:val="91F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B171A"/>
    <w:multiLevelType w:val="multilevel"/>
    <w:tmpl w:val="D67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E4127"/>
    <w:multiLevelType w:val="hybridMultilevel"/>
    <w:tmpl w:val="8960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3C5"/>
    <w:multiLevelType w:val="hybridMultilevel"/>
    <w:tmpl w:val="2676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2DD1"/>
    <w:multiLevelType w:val="hybridMultilevel"/>
    <w:tmpl w:val="DD66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535B"/>
    <w:multiLevelType w:val="multilevel"/>
    <w:tmpl w:val="133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F1742"/>
    <w:multiLevelType w:val="multilevel"/>
    <w:tmpl w:val="028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C25FB"/>
    <w:multiLevelType w:val="hybridMultilevel"/>
    <w:tmpl w:val="971E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467EF"/>
    <w:multiLevelType w:val="multilevel"/>
    <w:tmpl w:val="FE7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E78EC"/>
    <w:multiLevelType w:val="hybridMultilevel"/>
    <w:tmpl w:val="A65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9651">
    <w:abstractNumId w:val="4"/>
  </w:num>
  <w:num w:numId="2" w16cid:durableId="292566122">
    <w:abstractNumId w:val="0"/>
  </w:num>
  <w:num w:numId="3" w16cid:durableId="1626422760">
    <w:abstractNumId w:val="11"/>
  </w:num>
  <w:num w:numId="4" w16cid:durableId="1665819987">
    <w:abstractNumId w:val="1"/>
  </w:num>
  <w:num w:numId="5" w16cid:durableId="237907306">
    <w:abstractNumId w:val="9"/>
  </w:num>
  <w:num w:numId="6" w16cid:durableId="1364476433">
    <w:abstractNumId w:val="8"/>
  </w:num>
  <w:num w:numId="7" w16cid:durableId="917909068">
    <w:abstractNumId w:val="3"/>
  </w:num>
  <w:num w:numId="8" w16cid:durableId="403992332">
    <w:abstractNumId w:val="12"/>
  </w:num>
  <w:num w:numId="9" w16cid:durableId="163709716">
    <w:abstractNumId w:val="2"/>
  </w:num>
  <w:num w:numId="10" w16cid:durableId="1056512527">
    <w:abstractNumId w:val="10"/>
  </w:num>
  <w:num w:numId="11" w16cid:durableId="484786776">
    <w:abstractNumId w:val="7"/>
  </w:num>
  <w:num w:numId="12" w16cid:durableId="878708141">
    <w:abstractNumId w:val="6"/>
  </w:num>
  <w:num w:numId="13" w16cid:durableId="74594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5E"/>
    <w:rsid w:val="00090A35"/>
    <w:rsid w:val="0033247E"/>
    <w:rsid w:val="003B5F7F"/>
    <w:rsid w:val="003E1C90"/>
    <w:rsid w:val="004E4B59"/>
    <w:rsid w:val="00592825"/>
    <w:rsid w:val="00632AB8"/>
    <w:rsid w:val="009F3098"/>
    <w:rsid w:val="00B4355E"/>
    <w:rsid w:val="00BD1381"/>
    <w:rsid w:val="00B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E09A"/>
  <w15:chartTrackingRefBased/>
  <w15:docId w15:val="{838B39B8-AF0D-C14D-B0F8-031BF7DD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55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4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Ιάσονας Καλογεράς</dc:creator>
  <cp:keywords/>
  <dc:description/>
  <cp:lastModifiedBy>Έφη Μανωλάκη</cp:lastModifiedBy>
  <cp:revision>4</cp:revision>
  <dcterms:created xsi:type="dcterms:W3CDTF">2025-11-07T14:51:00Z</dcterms:created>
  <dcterms:modified xsi:type="dcterms:W3CDTF">2025-11-10T07:17:00Z</dcterms:modified>
</cp:coreProperties>
</file>